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65FD" w:rsidRPr="001065FD" w:rsidRDefault="001065FD" w:rsidP="001065FD">
      <w:pPr>
        <w:spacing w:line="0" w:lineRule="auto"/>
        <w:outlineLvl w:val="1"/>
        <w:rPr>
          <w:rFonts w:ascii="Segoe UI" w:eastAsia="Times New Roman" w:hAnsi="Segoe UI" w:cs="Segoe UI"/>
          <w:b/>
          <w:bCs/>
          <w:color w:val="0D0D0D" w:themeColor="text1" w:themeTint="F2"/>
          <w:sz w:val="36"/>
          <w:szCs w:val="36"/>
          <w:lang w:eastAsia="de-DE"/>
        </w:rPr>
      </w:pPr>
      <w:r w:rsidRPr="001065FD">
        <w:rPr>
          <w:rFonts w:ascii="Segoe UI" w:eastAsia="Times New Roman" w:hAnsi="Segoe UI" w:cs="Segoe UI"/>
          <w:b/>
          <w:bCs/>
          <w:color w:val="0D0D0D" w:themeColor="text1" w:themeTint="F2"/>
          <w:sz w:val="36"/>
          <w:szCs w:val="36"/>
          <w:lang w:eastAsia="de-DE"/>
        </w:rPr>
        <w:t>Alessandro Topa</w:t>
      </w:r>
    </w:p>
    <w:p w:rsidR="001065FD" w:rsidRPr="001065FD" w:rsidRDefault="001065FD" w:rsidP="001065FD">
      <w:pPr>
        <w:pStyle w:val="berschrift2"/>
        <w:spacing w:before="0" w:beforeAutospacing="0" w:after="0" w:afterAutospacing="0" w:line="0" w:lineRule="auto"/>
        <w:rPr>
          <w:rFonts w:ascii="var(--sans)" w:hAnsi="var(--sans)"/>
          <w:color w:val="0D0D0D" w:themeColor="text1" w:themeTint="F2"/>
        </w:rPr>
      </w:pPr>
      <w:r w:rsidRPr="001065FD">
        <w:rPr>
          <w:rFonts w:ascii="var(--sans)" w:hAnsi="var(--sans)"/>
          <w:color w:val="0D0D0D" w:themeColor="text1" w:themeTint="F2"/>
        </w:rPr>
        <w:t>Alessandro</w:t>
      </w:r>
      <w:r w:rsidRPr="001065FD">
        <w:rPr>
          <w:rStyle w:val="apple-converted-space"/>
          <w:rFonts w:ascii="var(--sans)" w:hAnsi="var(--sans)"/>
          <w:color w:val="0D0D0D" w:themeColor="text1" w:themeTint="F2"/>
        </w:rPr>
        <w:t> </w:t>
      </w:r>
      <w:r w:rsidRPr="001065FD">
        <w:rPr>
          <w:rFonts w:ascii="var(--sans)" w:hAnsi="var(--sans)"/>
          <w:color w:val="0D0D0D" w:themeColor="text1" w:themeTint="F2"/>
        </w:rPr>
        <w:t>Topa</w:t>
      </w:r>
    </w:p>
    <w:p w:rsidR="001065FD" w:rsidRPr="001065FD" w:rsidRDefault="001065FD" w:rsidP="001065FD">
      <w:pPr>
        <w:pStyle w:val="berschrift2"/>
        <w:spacing w:before="0" w:beforeAutospacing="0" w:after="0" w:afterAutospacing="0" w:line="0" w:lineRule="auto"/>
        <w:rPr>
          <w:rFonts w:ascii="Segoe UI" w:hAnsi="Segoe UI" w:cs="Segoe UI"/>
          <w:color w:val="0D0D0D" w:themeColor="text1" w:themeTint="F2"/>
        </w:rPr>
      </w:pPr>
      <w:r w:rsidRPr="001065FD">
        <w:rPr>
          <w:rFonts w:ascii="Segoe UI" w:hAnsi="Segoe UI" w:cs="Segoe UI"/>
          <w:color w:val="0D0D0D" w:themeColor="text1" w:themeTint="F2"/>
        </w:rPr>
        <w:t>Alessandro</w:t>
      </w:r>
      <w:r w:rsidRPr="001065FD">
        <w:rPr>
          <w:rStyle w:val="apple-converted-space"/>
          <w:rFonts w:ascii="Segoe UI" w:hAnsi="Segoe UI" w:cs="Segoe UI"/>
          <w:color w:val="0D0D0D" w:themeColor="text1" w:themeTint="F2"/>
        </w:rPr>
        <w:t> </w:t>
      </w:r>
      <w:r w:rsidRPr="001065FD">
        <w:rPr>
          <w:rFonts w:ascii="Segoe UI" w:hAnsi="Segoe UI" w:cs="Segoe UI"/>
          <w:color w:val="0D0D0D" w:themeColor="text1" w:themeTint="F2"/>
        </w:rPr>
        <w:t>Topa</w:t>
      </w:r>
    </w:p>
    <w:p w:rsidR="001065FD" w:rsidRPr="000B6B62" w:rsidRDefault="001065FD" w:rsidP="001065FD">
      <w:pPr>
        <w:rPr>
          <w:rFonts w:ascii="var(--sans)" w:eastAsia="Times New Roman" w:hAnsi="var(--sans)" w:cs="Segoe UI"/>
          <w:b/>
          <w:bCs/>
          <w:color w:val="0D0D0D" w:themeColor="text1" w:themeTint="F2"/>
          <w:sz w:val="28"/>
          <w:szCs w:val="28"/>
          <w:lang w:val="en-US" w:eastAsia="de-DE"/>
        </w:rPr>
      </w:pPr>
      <w:r w:rsidRPr="000B6B62">
        <w:rPr>
          <w:rFonts w:ascii="var(--sans)" w:eastAsia="Times New Roman" w:hAnsi="var(--sans)" w:cs="Segoe UI"/>
          <w:b/>
          <w:bCs/>
          <w:color w:val="0D0D0D" w:themeColor="text1" w:themeTint="F2"/>
          <w:sz w:val="28"/>
          <w:szCs w:val="28"/>
          <w:lang w:val="en-US" w:eastAsia="de-DE"/>
        </w:rPr>
        <w:t xml:space="preserve">Alessandro </w:t>
      </w:r>
      <w:proofErr w:type="spellStart"/>
      <w:r w:rsidRPr="000B6B62">
        <w:rPr>
          <w:rFonts w:ascii="var(--sans)" w:eastAsia="Times New Roman" w:hAnsi="var(--sans)" w:cs="Segoe UI"/>
          <w:b/>
          <w:bCs/>
          <w:color w:val="0D0D0D" w:themeColor="text1" w:themeTint="F2"/>
          <w:sz w:val="28"/>
          <w:szCs w:val="28"/>
          <w:lang w:val="en-US" w:eastAsia="de-DE"/>
        </w:rPr>
        <w:t>Topa</w:t>
      </w:r>
      <w:proofErr w:type="spellEnd"/>
    </w:p>
    <w:p w:rsidR="001065FD" w:rsidRPr="001065FD" w:rsidRDefault="001065FD" w:rsidP="001065FD">
      <w:pPr>
        <w:rPr>
          <w:rFonts w:ascii="var(--sans)" w:eastAsia="Times New Roman" w:hAnsi="var(--sans)" w:cs="Segoe UI"/>
          <w:b/>
          <w:bCs/>
          <w:color w:val="0D0D0D" w:themeColor="text1" w:themeTint="F2"/>
          <w:sz w:val="28"/>
          <w:szCs w:val="28"/>
          <w:lang w:eastAsia="de-DE"/>
        </w:rPr>
      </w:pPr>
    </w:p>
    <w:p w:rsidR="001065FD" w:rsidRPr="001065FD" w:rsidRDefault="001065FD" w:rsidP="001065FD">
      <w:pPr>
        <w:rPr>
          <w:rFonts w:ascii="var(--sans)" w:eastAsia="Times New Roman" w:hAnsi="var(--sans)" w:cs="Segoe UI"/>
          <w:b/>
          <w:bCs/>
          <w:color w:val="0D0D0D" w:themeColor="text1" w:themeTint="F2"/>
          <w:sz w:val="22"/>
          <w:szCs w:val="22"/>
          <w:lang w:eastAsia="de-DE"/>
        </w:rPr>
      </w:pPr>
      <w:r w:rsidRPr="001065FD">
        <w:rPr>
          <w:rFonts w:ascii="var(--sans)" w:eastAsia="Times New Roman" w:hAnsi="var(--sans)" w:cs="Segoe UI"/>
          <w:b/>
          <w:bCs/>
          <w:color w:val="0D0D0D" w:themeColor="text1" w:themeTint="F2"/>
          <w:sz w:val="22"/>
          <w:szCs w:val="22"/>
          <w:lang w:eastAsia="de-DE"/>
        </w:rPr>
        <w:t>Position: </w:t>
      </w:r>
      <w:r w:rsidR="00C02124">
        <w:rPr>
          <w:rFonts w:ascii="var(--sans)" w:eastAsia="Times New Roman" w:hAnsi="var(--sans)" w:cs="Segoe UI"/>
          <w:b/>
          <w:bCs/>
          <w:color w:val="0D0D0D" w:themeColor="text1" w:themeTint="F2"/>
          <w:sz w:val="22"/>
          <w:szCs w:val="22"/>
          <w:lang w:eastAsia="de-DE"/>
        </w:rPr>
        <w:tab/>
      </w:r>
      <w:r w:rsidRPr="001065FD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eastAsia="de-DE"/>
        </w:rPr>
        <w:t>Associate Professor and Chair</w:t>
      </w:r>
    </w:p>
    <w:p w:rsidR="001065FD" w:rsidRPr="001065FD" w:rsidRDefault="001065FD" w:rsidP="001065FD">
      <w:pPr>
        <w:rPr>
          <w:rFonts w:ascii="var(--sans)" w:eastAsia="Times New Roman" w:hAnsi="var(--sans)" w:cs="Segoe UI"/>
          <w:b/>
          <w:bCs/>
          <w:color w:val="0D0D0D" w:themeColor="text1" w:themeTint="F2"/>
          <w:sz w:val="22"/>
          <w:szCs w:val="22"/>
          <w:lang w:eastAsia="de-DE"/>
        </w:rPr>
      </w:pPr>
      <w:r w:rsidRPr="001065FD">
        <w:rPr>
          <w:rFonts w:ascii="var(--sans)" w:eastAsia="Times New Roman" w:hAnsi="var(--sans)" w:cs="Segoe UI"/>
          <w:b/>
          <w:bCs/>
          <w:color w:val="0D0D0D" w:themeColor="text1" w:themeTint="F2"/>
          <w:sz w:val="22"/>
          <w:szCs w:val="22"/>
          <w:lang w:eastAsia="de-DE"/>
        </w:rPr>
        <w:t>Department: </w:t>
      </w:r>
      <w:r w:rsidR="00C02124">
        <w:rPr>
          <w:rFonts w:ascii="var(--sans)" w:eastAsia="Times New Roman" w:hAnsi="var(--sans)" w:cs="Segoe UI"/>
          <w:b/>
          <w:bCs/>
          <w:color w:val="0D0D0D" w:themeColor="text1" w:themeTint="F2"/>
          <w:sz w:val="22"/>
          <w:szCs w:val="22"/>
          <w:lang w:eastAsia="de-DE"/>
        </w:rPr>
        <w:tab/>
      </w:r>
      <w:r w:rsidRPr="001065FD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eastAsia="de-DE"/>
        </w:rPr>
        <w:t>Department of Philosophy</w:t>
      </w:r>
    </w:p>
    <w:p w:rsidR="001065FD" w:rsidRPr="001065FD" w:rsidRDefault="001065FD" w:rsidP="001065FD">
      <w:pPr>
        <w:rPr>
          <w:rFonts w:ascii="var(--sans)" w:eastAsia="Times New Roman" w:hAnsi="var(--sans)" w:cs="Segoe UI"/>
          <w:b/>
          <w:bCs/>
          <w:color w:val="0D0D0D" w:themeColor="text1" w:themeTint="F2"/>
          <w:sz w:val="22"/>
          <w:szCs w:val="22"/>
          <w:lang w:eastAsia="de-DE"/>
        </w:rPr>
      </w:pPr>
      <w:r w:rsidRPr="001065FD">
        <w:rPr>
          <w:rFonts w:ascii="var(--sans)" w:eastAsia="Times New Roman" w:hAnsi="var(--sans)" w:cs="Segoe UI"/>
          <w:b/>
          <w:bCs/>
          <w:color w:val="0D0D0D" w:themeColor="text1" w:themeTint="F2"/>
          <w:sz w:val="22"/>
          <w:szCs w:val="22"/>
          <w:lang w:eastAsia="de-DE"/>
        </w:rPr>
        <w:t>Email:</w:t>
      </w:r>
      <w:r w:rsidR="00C02124">
        <w:rPr>
          <w:rFonts w:ascii="var(--sans)" w:eastAsia="Times New Roman" w:hAnsi="var(--sans)" w:cs="Segoe UI"/>
          <w:b/>
          <w:bCs/>
          <w:color w:val="0D0D0D" w:themeColor="text1" w:themeTint="F2"/>
          <w:sz w:val="22"/>
          <w:szCs w:val="22"/>
          <w:lang w:eastAsia="de-DE"/>
        </w:rPr>
        <w:tab/>
      </w:r>
      <w:r w:rsidR="00C02124">
        <w:rPr>
          <w:rFonts w:ascii="var(--sans)" w:eastAsia="Times New Roman" w:hAnsi="var(--sans)" w:cs="Segoe UI"/>
          <w:b/>
          <w:bCs/>
          <w:color w:val="0D0D0D" w:themeColor="text1" w:themeTint="F2"/>
          <w:sz w:val="22"/>
          <w:szCs w:val="22"/>
          <w:lang w:eastAsia="de-DE"/>
        </w:rPr>
        <w:tab/>
      </w:r>
      <w:hyperlink r:id="rId5" w:history="1">
        <w:r w:rsidR="00C02124" w:rsidRPr="001065FD">
          <w:rPr>
            <w:rStyle w:val="Hyperlink"/>
            <w:rFonts w:ascii="var(--sans)" w:eastAsia="Times New Roman" w:hAnsi="var(--sans)" w:cs="Segoe UI"/>
            <w:sz w:val="22"/>
            <w:szCs w:val="22"/>
            <w:lang w:eastAsia="de-DE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a.topa@aucegypt.edu</w:t>
        </w:r>
      </w:hyperlink>
    </w:p>
    <w:p w:rsidR="001065FD" w:rsidRPr="000B6B62" w:rsidRDefault="001065FD">
      <w:pPr>
        <w:rPr>
          <w:color w:val="0D0D0D" w:themeColor="text1" w:themeTint="F2"/>
          <w:lang w:val="en-US"/>
        </w:rPr>
      </w:pPr>
    </w:p>
    <w:p w:rsidR="00C02124" w:rsidRPr="000B6B62" w:rsidRDefault="00C02124">
      <w:pPr>
        <w:rPr>
          <w:color w:val="0D0D0D" w:themeColor="text1" w:themeTint="F2"/>
          <w:sz w:val="22"/>
          <w:szCs w:val="22"/>
          <w:lang w:val="en-US"/>
        </w:rPr>
      </w:pPr>
    </w:p>
    <w:p w:rsidR="001065FD" w:rsidRPr="00C02124" w:rsidRDefault="001065FD" w:rsidP="001065FD">
      <w:pPr>
        <w:spacing w:line="288" w:lineRule="atLeast"/>
        <w:rPr>
          <w:rFonts w:ascii="Segoe UI" w:eastAsia="Times New Roman" w:hAnsi="Segoe UI" w:cs="Segoe UI"/>
          <w:b/>
          <w:bCs/>
          <w:color w:val="0D0D0D" w:themeColor="text1" w:themeTint="F2"/>
          <w:sz w:val="22"/>
          <w:szCs w:val="22"/>
          <w:lang w:eastAsia="de-DE"/>
        </w:rPr>
      </w:pPr>
      <w:r w:rsidRPr="001065FD">
        <w:rPr>
          <w:rFonts w:ascii="Segoe UI" w:eastAsia="Times New Roman" w:hAnsi="Segoe UI" w:cs="Segoe UI"/>
          <w:b/>
          <w:bCs/>
          <w:color w:val="0D0D0D" w:themeColor="text1" w:themeTint="F2"/>
          <w:sz w:val="22"/>
          <w:szCs w:val="22"/>
          <w:lang w:eastAsia="de-DE"/>
        </w:rPr>
        <w:t>Brief Biography</w:t>
      </w:r>
    </w:p>
    <w:p w:rsidR="001065FD" w:rsidRPr="001065FD" w:rsidRDefault="001065FD" w:rsidP="001065FD">
      <w:pPr>
        <w:spacing w:line="288" w:lineRule="atLeast"/>
        <w:rPr>
          <w:rFonts w:ascii="Segoe UI" w:eastAsia="Times New Roman" w:hAnsi="Segoe UI" w:cs="Segoe UI"/>
          <w:color w:val="0D0D0D" w:themeColor="text1" w:themeTint="F2"/>
          <w:sz w:val="22"/>
          <w:szCs w:val="22"/>
          <w:lang w:eastAsia="de-DE"/>
        </w:rPr>
      </w:pPr>
    </w:p>
    <w:p w:rsidR="00C02124" w:rsidRPr="001065FD" w:rsidRDefault="001065FD" w:rsidP="00C02124">
      <w:pPr>
        <w:spacing w:after="150"/>
        <w:jc w:val="both"/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val="en-US" w:eastAsia="de-DE"/>
        </w:rPr>
      </w:pPr>
      <w:r w:rsidRPr="001065FD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eastAsia="de-DE"/>
        </w:rPr>
        <w:t>Alessandro Topa obtained both his MA (L</w:t>
      </w:r>
      <w:r w:rsidRPr="001065FD">
        <w:rPr>
          <w:rFonts w:ascii="var(--sans)" w:eastAsia="Times New Roman" w:hAnsi="var(--sans)" w:cs="Segoe UI"/>
          <w:i/>
          <w:iCs/>
          <w:color w:val="0D0D0D" w:themeColor="text1" w:themeTint="F2"/>
          <w:sz w:val="22"/>
          <w:szCs w:val="22"/>
          <w:lang w:eastAsia="de-DE"/>
        </w:rPr>
        <w:t>ógos and Praxis. The Structure of Practical Knowledge in Plato’s Early Dialogues,</w:t>
      </w:r>
      <w:r w:rsidRPr="001065FD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eastAsia="de-DE"/>
        </w:rPr>
        <w:t> 1998) and PhD (</w:t>
      </w:r>
      <w:r w:rsidRPr="001065FD">
        <w:rPr>
          <w:rFonts w:ascii="var(--sans)" w:eastAsia="Times New Roman" w:hAnsi="var(--sans)" w:cs="Segoe UI"/>
          <w:i/>
          <w:iCs/>
          <w:color w:val="0D0D0D" w:themeColor="text1" w:themeTint="F2"/>
          <w:sz w:val="22"/>
          <w:szCs w:val="22"/>
          <w:lang w:eastAsia="de-DE"/>
        </w:rPr>
        <w:t>Since Thought Needs a Body. The Problem of a Metaphysical Deduction of the Categories in Kant and Peirce,</w:t>
      </w:r>
      <w:r w:rsidRPr="001065FD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eastAsia="de-DE"/>
        </w:rPr>
        <w:t xml:space="preserve"> 2006) from the Rheinische Friedrich-Wilhelms-Universität Bonn, Germany, where he studied philosophy, communication research and comparative literature. </w:t>
      </w:r>
      <w:r w:rsidRPr="00C02124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val="en-US" w:eastAsia="de-DE"/>
        </w:rPr>
        <w:t>In 202</w:t>
      </w:r>
      <w:r w:rsidR="00FF0B25" w:rsidRPr="00C02124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val="en-US" w:eastAsia="de-DE"/>
        </w:rPr>
        <w:t>3</w:t>
      </w:r>
      <w:r w:rsidRPr="00C02124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val="en-US" w:eastAsia="de-DE"/>
        </w:rPr>
        <w:t xml:space="preserve"> he completed his Habilitation (</w:t>
      </w:r>
      <w:r w:rsidR="000B6B62" w:rsidRPr="000B6B62">
        <w:rPr>
          <w:rFonts w:ascii="var(--sans)" w:eastAsia="Times New Roman" w:hAnsi="var(--sans)" w:cs="Segoe UI"/>
          <w:i/>
          <w:iCs/>
          <w:color w:val="0D0D0D" w:themeColor="text1" w:themeTint="F2"/>
          <w:sz w:val="22"/>
          <w:szCs w:val="22"/>
          <w:lang w:val="en-US" w:eastAsia="de-DE"/>
        </w:rPr>
        <w:t>Living Reason</w:t>
      </w:r>
      <w:r w:rsidR="000B6B62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val="en-US" w:eastAsia="de-DE"/>
        </w:rPr>
        <w:t xml:space="preserve">. </w:t>
      </w:r>
      <w:proofErr w:type="spellStart"/>
      <w:r w:rsidRPr="00C02124">
        <w:rPr>
          <w:rFonts w:ascii="var(--sans)" w:eastAsia="Times New Roman" w:hAnsi="var(--sans)" w:cs="Segoe UI"/>
          <w:i/>
          <w:iCs/>
          <w:color w:val="0D0D0D" w:themeColor="text1" w:themeTint="F2"/>
          <w:sz w:val="22"/>
          <w:szCs w:val="22"/>
          <w:lang w:val="en-US" w:eastAsia="de-DE"/>
        </w:rPr>
        <w:t>The</w:t>
      </w:r>
      <w:proofErr w:type="spellEnd"/>
      <w:r w:rsidRPr="00C02124">
        <w:rPr>
          <w:rFonts w:ascii="var(--sans)" w:eastAsia="Times New Roman" w:hAnsi="var(--sans)" w:cs="Segoe UI"/>
          <w:i/>
          <w:iCs/>
          <w:color w:val="0D0D0D" w:themeColor="text1" w:themeTint="F2"/>
          <w:sz w:val="22"/>
          <w:szCs w:val="22"/>
          <w:lang w:val="en-US" w:eastAsia="de-DE"/>
        </w:rPr>
        <w:t xml:space="preserve"> Normative Foundations of Peirce’s Semiotic Logic,</w:t>
      </w:r>
      <w:r w:rsidR="00FF0B25" w:rsidRPr="00C02124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val="en-US" w:eastAsia="de-DE"/>
        </w:rPr>
        <w:t xml:space="preserve"> 2023</w:t>
      </w:r>
      <w:r w:rsidRPr="00C02124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val="en-US" w:eastAsia="de-DE"/>
        </w:rPr>
        <w:t xml:space="preserve">) and obtained </w:t>
      </w:r>
      <w:r w:rsidR="00FF0B25" w:rsidRPr="00C02124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val="en-US" w:eastAsia="de-DE"/>
        </w:rPr>
        <w:t>his</w:t>
      </w:r>
      <w:r w:rsidRPr="00C02124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val="en-US" w:eastAsia="de-DE"/>
        </w:rPr>
        <w:t xml:space="preserve"> </w:t>
      </w:r>
      <w:proofErr w:type="spellStart"/>
      <w:r w:rsidRPr="00C02124">
        <w:rPr>
          <w:rFonts w:ascii="var(--sans)" w:eastAsia="Times New Roman" w:hAnsi="var(--sans)" w:cs="Segoe UI"/>
          <w:i/>
          <w:iCs/>
          <w:color w:val="0D0D0D" w:themeColor="text1" w:themeTint="F2"/>
          <w:sz w:val="22"/>
          <w:szCs w:val="22"/>
          <w:lang w:val="en-US" w:eastAsia="de-DE"/>
        </w:rPr>
        <w:t>venia</w:t>
      </w:r>
      <w:proofErr w:type="spellEnd"/>
      <w:r w:rsidRPr="00C02124">
        <w:rPr>
          <w:rFonts w:ascii="var(--sans)" w:eastAsia="Times New Roman" w:hAnsi="var(--sans)" w:cs="Segoe UI"/>
          <w:i/>
          <w:iCs/>
          <w:color w:val="0D0D0D" w:themeColor="text1" w:themeTint="F2"/>
          <w:sz w:val="22"/>
          <w:szCs w:val="22"/>
          <w:lang w:val="en-US" w:eastAsia="de-DE"/>
        </w:rPr>
        <w:t xml:space="preserve"> </w:t>
      </w:r>
      <w:proofErr w:type="spellStart"/>
      <w:r w:rsidRPr="00C02124">
        <w:rPr>
          <w:rFonts w:ascii="var(--sans)" w:eastAsia="Times New Roman" w:hAnsi="var(--sans)" w:cs="Segoe UI"/>
          <w:i/>
          <w:iCs/>
          <w:color w:val="0D0D0D" w:themeColor="text1" w:themeTint="F2"/>
          <w:sz w:val="22"/>
          <w:szCs w:val="22"/>
          <w:lang w:val="en-US" w:eastAsia="de-DE"/>
        </w:rPr>
        <w:t>legendi</w:t>
      </w:r>
      <w:proofErr w:type="spellEnd"/>
      <w:r w:rsidRPr="00C02124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val="en-US" w:eastAsia="de-DE"/>
        </w:rPr>
        <w:t xml:space="preserve"> </w:t>
      </w:r>
      <w:r w:rsidR="00FF0B25" w:rsidRPr="00C02124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val="en-US" w:eastAsia="de-DE"/>
        </w:rPr>
        <w:t xml:space="preserve">in philosophy </w:t>
      </w:r>
      <w:r w:rsidRPr="00C02124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val="en-US" w:eastAsia="de-DE"/>
        </w:rPr>
        <w:t>from the Otto-Friedrich University in Bamberg</w:t>
      </w:r>
      <w:r w:rsidR="00C02124" w:rsidRPr="00C02124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val="en-US" w:eastAsia="de-DE"/>
        </w:rPr>
        <w:t>, Germany.</w:t>
      </w:r>
      <w:r w:rsidR="00C02124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val="en-US" w:eastAsia="de-DE"/>
        </w:rPr>
        <w:t xml:space="preserve"> </w:t>
      </w:r>
      <w:r w:rsidRPr="001065FD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eastAsia="de-DE"/>
        </w:rPr>
        <w:t xml:space="preserve">Topa joined the Department of Philosophy at The American University in Cairo (AUC) in September 2009, acting as the graduate program director </w:t>
      </w:r>
      <w:r w:rsidRPr="00C02124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val="en-US" w:eastAsia="de-DE"/>
        </w:rPr>
        <w:t>from</w:t>
      </w:r>
      <w:r w:rsidRPr="001065FD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eastAsia="de-DE"/>
        </w:rPr>
        <w:t xml:space="preserve"> 2015</w:t>
      </w:r>
      <w:r w:rsidRPr="00C02124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val="en-US" w:eastAsia="de-DE"/>
        </w:rPr>
        <w:t xml:space="preserve"> to 2019 and as the Chair of the Department since 2023.</w:t>
      </w:r>
      <w:r w:rsidRPr="001065FD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eastAsia="de-DE"/>
        </w:rPr>
        <w:t xml:space="preserve"> He is a member of the Kant-Society, the German Society for Philosophy and the German Society for Semiotics.</w:t>
      </w:r>
    </w:p>
    <w:p w:rsidR="001065FD" w:rsidRPr="001065FD" w:rsidRDefault="001065FD" w:rsidP="001065FD">
      <w:pPr>
        <w:spacing w:line="288" w:lineRule="atLeast"/>
        <w:rPr>
          <w:rFonts w:ascii="Segoe UI" w:eastAsia="Times New Roman" w:hAnsi="Segoe UI" w:cs="Segoe UI"/>
          <w:b/>
          <w:bCs/>
          <w:color w:val="0D0D0D" w:themeColor="text1" w:themeTint="F2"/>
          <w:sz w:val="22"/>
          <w:szCs w:val="22"/>
          <w:lang w:eastAsia="de-DE"/>
        </w:rPr>
      </w:pPr>
      <w:r w:rsidRPr="001065FD">
        <w:rPr>
          <w:rFonts w:ascii="Segoe UI" w:eastAsia="Times New Roman" w:hAnsi="Segoe UI" w:cs="Segoe UI"/>
          <w:b/>
          <w:bCs/>
          <w:color w:val="0D0D0D" w:themeColor="text1" w:themeTint="F2"/>
          <w:sz w:val="22"/>
          <w:szCs w:val="22"/>
          <w:lang w:eastAsia="de-DE"/>
        </w:rPr>
        <w:t>Research Interest</w:t>
      </w:r>
    </w:p>
    <w:p w:rsidR="001065FD" w:rsidRDefault="001065FD" w:rsidP="00031675">
      <w:pPr>
        <w:numPr>
          <w:ilvl w:val="0"/>
          <w:numId w:val="1"/>
        </w:numPr>
        <w:spacing w:before="100" w:beforeAutospacing="1" w:after="100" w:afterAutospacing="1"/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eastAsia="de-DE"/>
        </w:rPr>
      </w:pPr>
      <w:r w:rsidRPr="001065FD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eastAsia="de-DE"/>
        </w:rPr>
        <w:t xml:space="preserve">Categoriology </w:t>
      </w:r>
    </w:p>
    <w:p w:rsidR="00EF009B" w:rsidRPr="00C02124" w:rsidRDefault="00EF009B" w:rsidP="00031675">
      <w:pPr>
        <w:numPr>
          <w:ilvl w:val="0"/>
          <w:numId w:val="1"/>
        </w:numPr>
        <w:spacing w:before="100" w:beforeAutospacing="1" w:after="100" w:afterAutospacing="1"/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eastAsia="de-DE"/>
        </w:rPr>
      </w:pPr>
      <w:proofErr w:type="spellStart"/>
      <w:r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val="de-DE" w:eastAsia="de-DE"/>
        </w:rPr>
        <w:t>Social</w:t>
      </w:r>
      <w:proofErr w:type="spellEnd"/>
      <w:r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val="de-DE" w:eastAsia="de-DE"/>
        </w:rPr>
        <w:t xml:space="preserve"> </w:t>
      </w:r>
      <w:proofErr w:type="spellStart"/>
      <w:r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val="de-DE" w:eastAsia="de-DE"/>
        </w:rPr>
        <w:t>and</w:t>
      </w:r>
      <w:proofErr w:type="spellEnd"/>
      <w:r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val="de-DE" w:eastAsia="de-DE"/>
        </w:rPr>
        <w:t xml:space="preserve"> Political </w:t>
      </w:r>
      <w:proofErr w:type="spellStart"/>
      <w:r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val="de-DE" w:eastAsia="de-DE"/>
        </w:rPr>
        <w:t>Philosophy</w:t>
      </w:r>
      <w:proofErr w:type="spellEnd"/>
    </w:p>
    <w:p w:rsidR="001065FD" w:rsidRPr="001065FD" w:rsidRDefault="001065FD" w:rsidP="00031675">
      <w:pPr>
        <w:numPr>
          <w:ilvl w:val="0"/>
          <w:numId w:val="1"/>
        </w:numPr>
        <w:spacing w:before="100" w:beforeAutospacing="1" w:after="100" w:afterAutospacing="1"/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eastAsia="de-DE"/>
        </w:rPr>
      </w:pPr>
      <w:r w:rsidRPr="001065FD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eastAsia="de-DE"/>
        </w:rPr>
        <w:t>Semeiotic</w:t>
      </w:r>
      <w:r w:rsidR="00530CFD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val="de-DE" w:eastAsia="de-DE"/>
        </w:rPr>
        <w:t xml:space="preserve">s </w:t>
      </w:r>
      <w:proofErr w:type="spellStart"/>
      <w:r w:rsidR="00530CFD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val="de-DE" w:eastAsia="de-DE"/>
        </w:rPr>
        <w:t>and</w:t>
      </w:r>
      <w:proofErr w:type="spellEnd"/>
      <w:r w:rsidR="00530CFD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val="de-DE" w:eastAsia="de-DE"/>
        </w:rPr>
        <w:t xml:space="preserve"> </w:t>
      </w:r>
      <w:proofErr w:type="spellStart"/>
      <w:r w:rsidR="00530CFD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val="de-DE" w:eastAsia="de-DE"/>
        </w:rPr>
        <w:t>Semeiotic</w:t>
      </w:r>
      <w:proofErr w:type="spellEnd"/>
      <w:r w:rsidRPr="001065FD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eastAsia="de-DE"/>
        </w:rPr>
        <w:t xml:space="preserve"> Logic </w:t>
      </w:r>
    </w:p>
    <w:p w:rsidR="001065FD" w:rsidRPr="001065FD" w:rsidRDefault="001065FD" w:rsidP="001065FD">
      <w:pPr>
        <w:numPr>
          <w:ilvl w:val="0"/>
          <w:numId w:val="1"/>
        </w:numPr>
        <w:spacing w:before="100" w:beforeAutospacing="1" w:after="100" w:afterAutospacing="1"/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eastAsia="de-DE"/>
        </w:rPr>
      </w:pPr>
      <w:r w:rsidRPr="001065FD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eastAsia="de-DE"/>
        </w:rPr>
        <w:t>Theories of</w:t>
      </w:r>
      <w:r w:rsidR="00FF0B25" w:rsidRPr="00C02124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val="en-US" w:eastAsia="de-DE"/>
        </w:rPr>
        <w:t xml:space="preserve"> Action,</w:t>
      </w:r>
      <w:r w:rsidRPr="001065FD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eastAsia="de-DE"/>
        </w:rPr>
        <w:t xml:space="preserve"> Normativity</w:t>
      </w:r>
      <w:r w:rsidRPr="00C02124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val="en-US" w:eastAsia="de-DE"/>
        </w:rPr>
        <w:t xml:space="preserve"> and Rationality</w:t>
      </w:r>
    </w:p>
    <w:p w:rsidR="001065FD" w:rsidRPr="001065FD" w:rsidRDefault="001065FD" w:rsidP="001065FD">
      <w:pPr>
        <w:numPr>
          <w:ilvl w:val="0"/>
          <w:numId w:val="1"/>
        </w:numPr>
        <w:spacing w:before="100" w:beforeAutospacing="1" w:after="100" w:afterAutospacing="1"/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eastAsia="de-DE"/>
        </w:rPr>
      </w:pPr>
      <w:r w:rsidRPr="00C02124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val="en-US" w:eastAsia="de-DE"/>
        </w:rPr>
        <w:t>Classical</w:t>
      </w:r>
      <w:r w:rsidR="00530CFD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val="en-US" w:eastAsia="de-DE"/>
        </w:rPr>
        <w:t xml:space="preserve"> Greek</w:t>
      </w:r>
      <w:r w:rsidRPr="00C02124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val="en-US" w:eastAsia="de-DE"/>
        </w:rPr>
        <w:t>, German and American Philosophy</w:t>
      </w:r>
    </w:p>
    <w:p w:rsidR="001065FD" w:rsidRPr="001065FD" w:rsidRDefault="001065FD" w:rsidP="001065FD">
      <w:pPr>
        <w:spacing w:line="288" w:lineRule="atLeast"/>
        <w:rPr>
          <w:rFonts w:ascii="Segoe UI" w:eastAsia="Times New Roman" w:hAnsi="Segoe UI" w:cs="Segoe UI"/>
          <w:b/>
          <w:bCs/>
          <w:color w:val="0D0D0D" w:themeColor="text1" w:themeTint="F2"/>
          <w:sz w:val="22"/>
          <w:szCs w:val="22"/>
          <w:lang w:eastAsia="de-DE"/>
        </w:rPr>
      </w:pPr>
      <w:r w:rsidRPr="001065FD">
        <w:rPr>
          <w:rFonts w:ascii="Segoe UI" w:eastAsia="Times New Roman" w:hAnsi="Segoe UI" w:cs="Segoe UI"/>
          <w:b/>
          <w:bCs/>
          <w:color w:val="0D0D0D" w:themeColor="text1" w:themeTint="F2"/>
          <w:sz w:val="22"/>
          <w:szCs w:val="22"/>
          <w:lang w:eastAsia="de-DE"/>
        </w:rPr>
        <w:t>Education</w:t>
      </w:r>
    </w:p>
    <w:p w:rsidR="001065FD" w:rsidRPr="001065FD" w:rsidRDefault="001065FD" w:rsidP="001065FD">
      <w:pPr>
        <w:numPr>
          <w:ilvl w:val="0"/>
          <w:numId w:val="2"/>
        </w:numPr>
        <w:spacing w:before="100" w:beforeAutospacing="1" w:after="100" w:afterAutospacing="1"/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eastAsia="de-DE"/>
        </w:rPr>
      </w:pPr>
      <w:r w:rsidRPr="001065FD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eastAsia="de-DE"/>
        </w:rPr>
        <w:t>MA, Rheinische Friedrich-Wilhelms-Universität Bonn (1998)</w:t>
      </w:r>
    </w:p>
    <w:p w:rsidR="001065FD" w:rsidRPr="00C02124" w:rsidRDefault="001065FD" w:rsidP="001065FD">
      <w:pPr>
        <w:numPr>
          <w:ilvl w:val="0"/>
          <w:numId w:val="2"/>
        </w:numPr>
        <w:spacing w:before="100" w:beforeAutospacing="1" w:after="100" w:afterAutospacing="1"/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eastAsia="de-DE"/>
        </w:rPr>
      </w:pPr>
      <w:r w:rsidRPr="001065FD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eastAsia="de-DE"/>
        </w:rPr>
        <w:t>PhD, Rheinische Friedrich-Wilhelms-Universität Bonn (2006)</w:t>
      </w:r>
    </w:p>
    <w:p w:rsidR="00FF0B25" w:rsidRPr="00C02124" w:rsidRDefault="00FF0B25" w:rsidP="001065FD">
      <w:pPr>
        <w:numPr>
          <w:ilvl w:val="0"/>
          <w:numId w:val="2"/>
        </w:numPr>
        <w:spacing w:before="100" w:beforeAutospacing="1" w:after="100" w:afterAutospacing="1"/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eastAsia="de-DE"/>
        </w:rPr>
      </w:pPr>
      <w:r w:rsidRPr="00C02124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val="de-DE" w:eastAsia="de-DE"/>
        </w:rPr>
        <w:t>Habil</w:t>
      </w:r>
      <w:r w:rsidR="00C02124" w:rsidRPr="00C02124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val="de-DE" w:eastAsia="de-DE"/>
        </w:rPr>
        <w:t>itation</w:t>
      </w:r>
      <w:r w:rsidRPr="00C02124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val="de-DE" w:eastAsia="de-DE"/>
        </w:rPr>
        <w:t xml:space="preserve">, </w:t>
      </w:r>
      <w:r w:rsidRPr="00C02124">
        <w:rPr>
          <w:rFonts w:ascii="var(--sans)" w:eastAsia="Times New Roman" w:hAnsi="var(--sans)" w:cs="Segoe UI"/>
          <w:color w:val="0D0D0D" w:themeColor="text1" w:themeTint="F2"/>
          <w:sz w:val="22"/>
          <w:szCs w:val="22"/>
          <w:lang w:val="en-US" w:eastAsia="de-DE"/>
        </w:rPr>
        <w:t>Otto-Friedrich University Bamberg (2023)</w:t>
      </w:r>
    </w:p>
    <w:p w:rsidR="00FF0B25" w:rsidRPr="00C02124" w:rsidRDefault="00BB3E25" w:rsidP="00BB3E25">
      <w:pPr>
        <w:spacing w:line="288" w:lineRule="atLeast"/>
        <w:rPr>
          <w:rFonts w:ascii="Segoe UI" w:eastAsia="Times New Roman" w:hAnsi="Segoe UI" w:cs="Segoe UI"/>
          <w:b/>
          <w:bCs/>
          <w:color w:val="0D0D0D" w:themeColor="text1" w:themeTint="F2"/>
          <w:lang w:val="de-DE" w:eastAsia="de-DE"/>
        </w:rPr>
      </w:pPr>
      <w:r w:rsidRPr="00C02124">
        <w:rPr>
          <w:rFonts w:ascii="Segoe UI" w:eastAsia="Times New Roman" w:hAnsi="Segoe UI" w:cs="Segoe UI"/>
          <w:b/>
          <w:bCs/>
          <w:color w:val="0D0D0D" w:themeColor="text1" w:themeTint="F2"/>
          <w:lang w:val="de-DE" w:eastAsia="de-DE"/>
        </w:rPr>
        <w:t>Publications</w:t>
      </w:r>
    </w:p>
    <w:p w:rsidR="001065FD" w:rsidRDefault="001065FD">
      <w:pPr>
        <w:rPr>
          <w:color w:val="0D0D0D" w:themeColor="text1" w:themeTint="F2"/>
        </w:rPr>
      </w:pPr>
    </w:p>
    <w:p w:rsidR="00FF0B25" w:rsidRPr="00C02124" w:rsidRDefault="00FF0B25" w:rsidP="00FF0B2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de-DE"/>
        </w:rPr>
      </w:pPr>
      <w:r w:rsidRPr="00C02124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de-DE"/>
        </w:rPr>
        <w:t>Monographs</w:t>
      </w:r>
    </w:p>
    <w:p w:rsidR="00BB3E25" w:rsidRPr="00FF0B25" w:rsidRDefault="00BB3E25" w:rsidP="00FF0B2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2"/>
          <w:szCs w:val="22"/>
          <w:lang w:val="de-DE"/>
        </w:rPr>
      </w:pPr>
    </w:p>
    <w:p w:rsidR="00FF0B25" w:rsidRDefault="00FF0B25" w:rsidP="00FF0B2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de-DE"/>
        </w:rPr>
      </w:pP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>Topa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, A. (2007): </w:t>
      </w:r>
      <w:r w:rsidRPr="00BB3E25">
        <w:rPr>
          <w:rFonts w:ascii="Times New Roman" w:hAnsi="Times New Roman" w:cs="Times New Roman"/>
          <w:i/>
          <w:iCs/>
          <w:color w:val="000000"/>
          <w:sz w:val="22"/>
          <w:szCs w:val="22"/>
          <w:lang w:val="de-DE"/>
        </w:rPr>
        <w:t xml:space="preserve">Die Genese der </w:t>
      </w:r>
      <w:proofErr w:type="spellStart"/>
      <w:r w:rsidRPr="00BB3E25">
        <w:rPr>
          <w:rFonts w:ascii="Times New Roman" w:hAnsi="Times New Roman" w:cs="Times New Roman"/>
          <w:i/>
          <w:iCs/>
          <w:color w:val="000000"/>
          <w:sz w:val="22"/>
          <w:szCs w:val="22"/>
          <w:lang w:val="de-DE"/>
        </w:rPr>
        <w:t>Peirce’schen</w:t>
      </w:r>
      <w:proofErr w:type="spellEnd"/>
      <w:r w:rsidRPr="00BB3E25">
        <w:rPr>
          <w:rFonts w:ascii="Times New Roman" w:hAnsi="Times New Roman" w:cs="Times New Roman"/>
          <w:i/>
          <w:iCs/>
          <w:color w:val="000000"/>
          <w:sz w:val="22"/>
          <w:szCs w:val="22"/>
          <w:lang w:val="de-DE"/>
        </w:rPr>
        <w:t xml:space="preserve"> Semiotik. Teil I: Das Kategorienproblem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(1857-1865),</w:t>
      </w:r>
    </w:p>
    <w:p w:rsidR="00FF0B25" w:rsidRDefault="00FF0B25" w:rsidP="00BB3E2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de-DE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Königshausen &amp; Neumann,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>Würzburg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>.</w:t>
      </w:r>
    </w:p>
    <w:p w:rsidR="00BB3E25" w:rsidRDefault="00BB3E25" w:rsidP="00FF0B2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de-DE"/>
        </w:rPr>
      </w:pPr>
    </w:p>
    <w:p w:rsidR="00FF0B25" w:rsidRDefault="00FF0B25" w:rsidP="00BB3E2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de-DE"/>
        </w:rPr>
      </w:pP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>Topa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, A. (2024): </w:t>
      </w:r>
      <w:r w:rsidRPr="000B6B62">
        <w:rPr>
          <w:rFonts w:ascii="Times New Roman" w:hAnsi="Times New Roman" w:cs="Times New Roman"/>
          <w:i/>
          <w:iCs/>
          <w:color w:val="000000"/>
          <w:sz w:val="22"/>
          <w:szCs w:val="22"/>
          <w:lang w:val="de-DE"/>
        </w:rPr>
        <w:t xml:space="preserve">Lebendige Vernunft. Die normativen Grundlagen der </w:t>
      </w:r>
      <w:proofErr w:type="spellStart"/>
      <w:r w:rsidRPr="000B6B62">
        <w:rPr>
          <w:rFonts w:ascii="Times New Roman" w:hAnsi="Times New Roman" w:cs="Times New Roman"/>
          <w:i/>
          <w:iCs/>
          <w:color w:val="000000"/>
          <w:sz w:val="22"/>
          <w:szCs w:val="22"/>
          <w:lang w:val="de-DE"/>
        </w:rPr>
        <w:t>Peirce’schen</w:t>
      </w:r>
      <w:proofErr w:type="spellEnd"/>
      <w:r w:rsidRPr="000B6B62">
        <w:rPr>
          <w:rFonts w:ascii="Times New Roman" w:hAnsi="Times New Roman" w:cs="Times New Roman"/>
          <w:i/>
          <w:iCs/>
          <w:color w:val="000000"/>
          <w:sz w:val="22"/>
          <w:szCs w:val="22"/>
          <w:lang w:val="de-DE"/>
        </w:rPr>
        <w:t xml:space="preserve"> Logik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>, Königshausen &amp;</w:t>
      </w:r>
      <w:r w:rsidR="00BB3E25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Neumann,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>Würzburg</w:t>
      </w:r>
      <w:proofErr w:type="spellEnd"/>
      <w:r w:rsidR="00BB3E25">
        <w:rPr>
          <w:rFonts w:ascii="Times New Roman" w:hAnsi="Times New Roman" w:cs="Times New Roman"/>
          <w:color w:val="000000"/>
          <w:sz w:val="22"/>
          <w:szCs w:val="22"/>
          <w:lang w:val="de-DE"/>
        </w:rPr>
        <w:t>.</w:t>
      </w:r>
    </w:p>
    <w:p w:rsidR="00A5234C" w:rsidRDefault="00A5234C" w:rsidP="00BB3E2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de-DE"/>
        </w:rPr>
      </w:pPr>
    </w:p>
    <w:p w:rsidR="00FF0B25" w:rsidRPr="00C02124" w:rsidRDefault="00BB3E25" w:rsidP="00FF0B2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en-US"/>
        </w:rPr>
      </w:pPr>
      <w:r w:rsidRPr="00C02124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en-US"/>
        </w:rPr>
        <w:t>Book Chapters</w:t>
      </w:r>
    </w:p>
    <w:p w:rsidR="00BB3E25" w:rsidRPr="00BB3E25" w:rsidRDefault="00BB3E25" w:rsidP="00FF0B2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</w:pPr>
    </w:p>
    <w:p w:rsidR="00FF0B25" w:rsidRPr="00FF0B25" w:rsidRDefault="00FF0B25" w:rsidP="00BB3E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Topa</w:t>
      </w:r>
      <w:proofErr w:type="spellEnd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A. (2013): “«A Circle of Categories of which Kant’s form an Arc» </w:t>
      </w:r>
      <w:proofErr w:type="spellStart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Zur</w:t>
      </w:r>
      <w:proofErr w:type="spellEnd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diagrammatischen</w:t>
      </w:r>
      <w:proofErr w:type="spellEnd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Form</w:t>
      </w:r>
    </w:p>
    <w:p w:rsidR="00FF0B25" w:rsidRPr="00A5234C" w:rsidRDefault="00FF0B25" w:rsidP="00A5234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de-DE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des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>topischen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Zusammenhangs in der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>frühen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>Peirce’schen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Kategorienspekulation”, in: Engel, F.,</w:t>
      </w:r>
      <w:r w:rsidR="00BB3E25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>Queisner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, M. &amp; Viola, T. (Eds.): </w:t>
      </w:r>
      <w:r w:rsidRPr="00A5234C">
        <w:rPr>
          <w:rFonts w:ascii="Times New Roman" w:hAnsi="Times New Roman" w:cs="Times New Roman"/>
          <w:i/>
          <w:iCs/>
          <w:color w:val="000000"/>
          <w:sz w:val="22"/>
          <w:szCs w:val="22"/>
          <w:lang w:val="de-DE"/>
        </w:rPr>
        <w:t>Das Bildnerische Denken: Charles S. Peirce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>, Akademie-Verlag, Berlin,</w:t>
      </w:r>
      <w:r w:rsidR="00A5234C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 </w:t>
      </w:r>
      <w:r w:rsidRPr="00A5234C"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pp. 189-218. </w:t>
      </w:r>
    </w:p>
    <w:p w:rsidR="00BB3E25" w:rsidRPr="00A5234C" w:rsidRDefault="00BB3E25" w:rsidP="00FF0B2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de-DE"/>
        </w:rPr>
      </w:pPr>
    </w:p>
    <w:p w:rsidR="00BB3E25" w:rsidRPr="000B6B62" w:rsidRDefault="00BB3E25" w:rsidP="00BB3E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lastRenderedPageBreak/>
        <w:t>Topa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, A. (2021): “Dialogische Form in und bei Peirce”, in: </w:t>
      </w:r>
      <w:r w:rsidRPr="00A5234C">
        <w:rPr>
          <w:rFonts w:ascii="Times New Roman" w:hAnsi="Times New Roman" w:cs="Times New Roman"/>
          <w:i/>
          <w:iCs/>
          <w:color w:val="000000"/>
          <w:sz w:val="22"/>
          <w:szCs w:val="22"/>
          <w:lang w:val="de-DE"/>
        </w:rPr>
        <w:t>Analytische Explikationen &amp; Interventionen</w:t>
      </w:r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, Brandl, J.,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>Kobow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de-DE"/>
        </w:rPr>
        <w:t xml:space="preserve">, B. et al. </w:t>
      </w:r>
      <w:r w:rsidRPr="000B6B62">
        <w:rPr>
          <w:rFonts w:ascii="Times New Roman" w:hAnsi="Times New Roman" w:cs="Times New Roman"/>
          <w:color w:val="000000"/>
          <w:sz w:val="22"/>
          <w:szCs w:val="22"/>
          <w:lang w:val="en-US"/>
        </w:rPr>
        <w:t>(Eds.), Leiden, pp. 121-136.</w:t>
      </w:r>
    </w:p>
    <w:p w:rsidR="00BB3E25" w:rsidRPr="000B6B62" w:rsidRDefault="00BB3E25" w:rsidP="00BB3E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BB3E25" w:rsidRPr="00FF0B25" w:rsidRDefault="00BB3E25" w:rsidP="00BB3E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Topa</w:t>
      </w:r>
      <w:proofErr w:type="spellEnd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A. (2022): “On a Rhetorical Ground of Human Togetherness: Plurality and </w:t>
      </w:r>
      <w:proofErr w:type="spellStart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Mediality</w:t>
      </w:r>
      <w:proofErr w:type="spellEnd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in Arendt</w:t>
      </w:r>
    </w:p>
    <w:p w:rsidR="00BB3E25" w:rsidRPr="00FF0B25" w:rsidRDefault="00BB3E25" w:rsidP="00BB3E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and Peirce”, in: </w:t>
      </w:r>
      <w:r w:rsidRPr="00A5234C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Hannah Arendt: Challenges of Plurality</w:t>
      </w:r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Robaszkiewicz</w:t>
      </w:r>
      <w:proofErr w:type="spellEnd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, M. &amp; Matzner, T. (Eds.), pp. 37-55.</w:t>
      </w:r>
    </w:p>
    <w:p w:rsidR="00BB3E25" w:rsidRPr="00BB3E25" w:rsidRDefault="00BB3E25" w:rsidP="00BB3E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BB3E25" w:rsidRPr="00BB3E25" w:rsidRDefault="00BB3E25" w:rsidP="00BB3E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BB3E25" w:rsidRPr="00C02124" w:rsidRDefault="00BB3E25" w:rsidP="00BB3E2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en-US"/>
        </w:rPr>
      </w:pPr>
      <w:r w:rsidRPr="00C02124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en-US"/>
        </w:rPr>
        <w:t>Papers</w:t>
      </w:r>
    </w:p>
    <w:p w:rsidR="00BB3E25" w:rsidRPr="000B6B62" w:rsidRDefault="00BB3E25" w:rsidP="00FF0B2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FF0B25" w:rsidRPr="00FF0B25" w:rsidRDefault="00FF0B25" w:rsidP="00BB3E2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Topa</w:t>
      </w:r>
      <w:proofErr w:type="spellEnd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, A. (2015): “»The Sense of Talking of Modes of Being« – Envisaging the (Non)Identity of</w:t>
      </w:r>
    </w:p>
    <w:p w:rsidR="00FF0B25" w:rsidRDefault="00FF0B25" w:rsidP="00BB3E2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Mode and Category in the Horizon of an Architectonic Hermeneutic of Being”, in: </w:t>
      </w:r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Journal</w:t>
      </w:r>
      <w:r w:rsid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Phänomenologie</w:t>
      </w:r>
      <w:proofErr w:type="spellEnd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44/2015, pp. 39-55.</w:t>
      </w:r>
    </w:p>
    <w:p w:rsidR="00BB3E25" w:rsidRPr="00FF0B25" w:rsidRDefault="00BB3E25" w:rsidP="00FF0B2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FF0B25" w:rsidRDefault="00FF0B25" w:rsidP="00C0212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Topa</w:t>
      </w:r>
      <w:proofErr w:type="spellEnd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, A. (2016): “»I have to confess I cannot read history so« – On the Origins and</w:t>
      </w:r>
      <w:r w:rsidR="00C02124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Development of Peirce’s Philosophy of History”, in: </w:t>
      </w:r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European Journal of American Philosophy and</w:t>
      </w:r>
      <w:r w:rsidR="00C02124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Pragmatism</w:t>
      </w:r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, vol. VIII/2, pp. 71-96.</w:t>
      </w:r>
    </w:p>
    <w:p w:rsidR="00BB3E25" w:rsidRPr="00FF0B25" w:rsidRDefault="00BB3E25" w:rsidP="00FF0B2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FF0B25" w:rsidRPr="00FF0B25" w:rsidRDefault="00FF0B25" w:rsidP="00FF0B2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Topa</w:t>
      </w:r>
      <w:proofErr w:type="spellEnd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A. (2017): “The Reemergence of Schiller in Peirce’s Reminiscences of the </w:t>
      </w:r>
      <w:proofErr w:type="spellStart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Æsthetic</w:t>
      </w:r>
      <w:proofErr w:type="spellEnd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Letters: A</w:t>
      </w:r>
    </w:p>
    <w:p w:rsidR="00FF0B25" w:rsidRDefault="00FF0B25" w:rsidP="00BB3E2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Critical Addendum to D. Dilworth’s Account of the Provenance of Peirce’s Categories in Schiller”, in:</w:t>
      </w:r>
      <w:r w:rsidR="00BB3E2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Cognitio</w:t>
      </w:r>
      <w:proofErr w:type="spellEnd"/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 xml:space="preserve">, </w:t>
      </w:r>
      <w:proofErr w:type="spellStart"/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Revista</w:t>
      </w:r>
      <w:proofErr w:type="spellEnd"/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 xml:space="preserve"> de </w:t>
      </w:r>
      <w:proofErr w:type="spellStart"/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Filosofia</w:t>
      </w:r>
      <w:proofErr w:type="spellEnd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, São Paolo, vol. XVIII/2, pp. 326-343.</w:t>
      </w:r>
    </w:p>
    <w:p w:rsidR="00BB3E25" w:rsidRPr="00FF0B25" w:rsidRDefault="00BB3E25" w:rsidP="00BB3E2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FF0B25" w:rsidRDefault="00FF0B25" w:rsidP="00BB3E2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Topa</w:t>
      </w:r>
      <w:proofErr w:type="spellEnd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A. (2018): “The Categories in Disguise: a </w:t>
      </w:r>
      <w:proofErr w:type="spellStart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Categoriological</w:t>
      </w:r>
      <w:proofErr w:type="spellEnd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Specification of D. Dilworth’s Account</w:t>
      </w:r>
      <w:r w:rsidR="00BB3E2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of the Provenance of Peirce’s Categories in Schiller”, in: </w:t>
      </w:r>
      <w:proofErr w:type="spellStart"/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Cognitio</w:t>
      </w:r>
      <w:proofErr w:type="spellEnd"/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 xml:space="preserve">, </w:t>
      </w:r>
      <w:proofErr w:type="spellStart"/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Revista</w:t>
      </w:r>
      <w:proofErr w:type="spellEnd"/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 xml:space="preserve"> de </w:t>
      </w:r>
      <w:proofErr w:type="spellStart"/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Filosofia</w:t>
      </w:r>
      <w:proofErr w:type="spellEnd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, São Paolo, vol.</w:t>
      </w:r>
      <w:r w:rsidR="00BB3E2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19/2, pp. 160-178.</w:t>
      </w:r>
    </w:p>
    <w:p w:rsidR="00BB3E25" w:rsidRPr="00FF0B25" w:rsidRDefault="00BB3E25" w:rsidP="00BB3E2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FF0B25" w:rsidRDefault="00FF0B25" w:rsidP="00C0212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Topa</w:t>
      </w:r>
      <w:proofErr w:type="spellEnd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A, (2019): “«In the memory of these concrete living gests»: </w:t>
      </w:r>
      <w:proofErr w:type="spellStart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C.S</w:t>
      </w:r>
      <w:proofErr w:type="spellEnd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. Peirce on Science of Review”,</w:t>
      </w:r>
      <w:r w:rsidR="00C02124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in: </w:t>
      </w:r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Transactions of the Charles S. Peirce Society</w:t>
      </w:r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, 07/2019, Volume 55</w:t>
      </w:r>
      <w:r w:rsidR="00BB3E2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(3).</w:t>
      </w:r>
    </w:p>
    <w:p w:rsidR="00BB3E25" w:rsidRPr="00FF0B25" w:rsidRDefault="00BB3E25" w:rsidP="00FF0B2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FF0B25" w:rsidRDefault="00FF0B25" w:rsidP="00BB3E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Topa</w:t>
      </w:r>
      <w:proofErr w:type="spellEnd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, A. (2020): “The general secret of rendering signs effective: On the Aristotelian roots of</w:t>
      </w:r>
      <w:r w:rsidR="00BB3E2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Peirce’s conception of rhetoric as a </w:t>
      </w:r>
      <w:proofErr w:type="spellStart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dynamis</w:t>
      </w:r>
      <w:proofErr w:type="spellEnd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téchne</w:t>
      </w:r>
      <w:proofErr w:type="spellEnd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and semeiotic form of the summum </w:t>
      </w:r>
      <w:proofErr w:type="spellStart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bonum</w:t>
      </w:r>
      <w:proofErr w:type="spellEnd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”, in:</w:t>
      </w:r>
      <w:r w:rsidR="00BB3E2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Cognitio</w:t>
      </w:r>
      <w:proofErr w:type="spellEnd"/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 xml:space="preserve">, </w:t>
      </w:r>
      <w:proofErr w:type="spellStart"/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Revista</w:t>
      </w:r>
      <w:proofErr w:type="spellEnd"/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 xml:space="preserve"> de </w:t>
      </w:r>
      <w:proofErr w:type="spellStart"/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Filosofia</w:t>
      </w:r>
      <w:proofErr w:type="spellEnd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, São Paolo, 20/2, pp. 404-428.</w:t>
      </w:r>
    </w:p>
    <w:p w:rsidR="00BB3E25" w:rsidRPr="00FF0B25" w:rsidRDefault="00BB3E25" w:rsidP="00FF0B2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FF0B25" w:rsidRPr="00FF0B25" w:rsidRDefault="00FF0B25" w:rsidP="00BB3E25">
      <w:pPr>
        <w:autoSpaceDE w:val="0"/>
        <w:autoSpaceDN w:val="0"/>
        <w:adjustRightInd w:val="0"/>
        <w:rPr>
          <w:rFonts w:ascii="Times New Roman" w:hAnsi="Times New Roman" w:cs="Times New Roman"/>
          <w:color w:val="333333"/>
          <w:sz w:val="22"/>
          <w:szCs w:val="22"/>
          <w:lang w:val="en-US"/>
        </w:rPr>
      </w:pPr>
      <w:proofErr w:type="spellStart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Topa</w:t>
      </w:r>
      <w:proofErr w:type="spellEnd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, A. (2020): “</w:t>
      </w:r>
      <w:proofErr w:type="spellStart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C.S</w:t>
      </w:r>
      <w:proofErr w:type="spellEnd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. Peirce on Dialogical Form”, in</w:t>
      </w:r>
      <w:r w:rsidR="00C02124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: </w:t>
      </w:r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Transactions of the Charles Sanders Peirce</w:t>
      </w:r>
      <w:r w:rsidR="00C02124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C02124"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Society</w:t>
      </w:r>
      <w:r w:rsidR="00BB3E2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r w:rsidRPr="00FF0B25">
        <w:rPr>
          <w:rFonts w:ascii="Times New Roman" w:hAnsi="Times New Roman" w:cs="Times New Roman"/>
          <w:color w:val="333333"/>
          <w:sz w:val="22"/>
          <w:szCs w:val="22"/>
          <w:lang w:val="en-US"/>
        </w:rPr>
        <w:t>Volume 56</w:t>
      </w:r>
      <w:r w:rsidR="00BB3E25">
        <w:rPr>
          <w:rFonts w:ascii="Times New Roman" w:hAnsi="Times New Roman" w:cs="Times New Roman"/>
          <w:color w:val="333333"/>
          <w:sz w:val="22"/>
          <w:szCs w:val="22"/>
          <w:lang w:val="en-US"/>
        </w:rPr>
        <w:t xml:space="preserve"> (</w:t>
      </w:r>
      <w:r w:rsidRPr="00FF0B25">
        <w:rPr>
          <w:rFonts w:ascii="Times New Roman" w:hAnsi="Times New Roman" w:cs="Times New Roman"/>
          <w:color w:val="333333"/>
          <w:sz w:val="22"/>
          <w:szCs w:val="22"/>
          <w:lang w:val="en-US"/>
        </w:rPr>
        <w:t>4</w:t>
      </w:r>
      <w:r w:rsidR="00BB3E25">
        <w:rPr>
          <w:rFonts w:ascii="Times New Roman" w:hAnsi="Times New Roman" w:cs="Times New Roman"/>
          <w:color w:val="333333"/>
          <w:sz w:val="22"/>
          <w:szCs w:val="22"/>
          <w:lang w:val="en-US"/>
        </w:rPr>
        <w:t>)</w:t>
      </w:r>
      <w:r w:rsidRPr="00FF0B25">
        <w:rPr>
          <w:rFonts w:ascii="Times New Roman" w:hAnsi="Times New Roman" w:cs="Times New Roman"/>
          <w:color w:val="333333"/>
          <w:sz w:val="22"/>
          <w:szCs w:val="22"/>
          <w:lang w:val="en-US"/>
        </w:rPr>
        <w:t>.</w:t>
      </w:r>
    </w:p>
    <w:p w:rsidR="00BB3E25" w:rsidRDefault="00BB3E25" w:rsidP="00FF0B2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</w:p>
    <w:p w:rsidR="00FF0B25" w:rsidRPr="00FF0B25" w:rsidRDefault="00FF0B25" w:rsidP="00FF0B2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Topa</w:t>
      </w:r>
      <w:proofErr w:type="spellEnd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, A. (2020): “Graphic Instinct: The Account of Rhetorical Action and its Instinctive Roots in</w:t>
      </w:r>
    </w:p>
    <w:p w:rsidR="00FF0B25" w:rsidRPr="00BB3E25" w:rsidRDefault="00FF0B25" w:rsidP="00BB3E2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Peirce’s Classification of Practical Sciences”, in: </w:t>
      </w:r>
      <w:proofErr w:type="spellStart"/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Cognitio</w:t>
      </w:r>
      <w:proofErr w:type="spellEnd"/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 xml:space="preserve">, </w:t>
      </w:r>
      <w:proofErr w:type="spellStart"/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Revista</w:t>
      </w:r>
      <w:proofErr w:type="spellEnd"/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 xml:space="preserve"> de </w:t>
      </w:r>
      <w:proofErr w:type="spellStart"/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Filosofia</w:t>
      </w:r>
      <w:proofErr w:type="spellEnd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, São Paolo, vol. 21/1, pp. 132-</w:t>
      </w:r>
      <w:r w:rsidRPr="00BB3E25">
        <w:rPr>
          <w:rFonts w:ascii="Times New Roman" w:hAnsi="Times New Roman" w:cs="Times New Roman"/>
          <w:color w:val="000000"/>
          <w:sz w:val="22"/>
          <w:szCs w:val="22"/>
          <w:lang w:val="en-US"/>
        </w:rPr>
        <w:t>151.</w:t>
      </w:r>
    </w:p>
    <w:p w:rsidR="00BB3E25" w:rsidRPr="00BB3E25" w:rsidRDefault="00BB3E25" w:rsidP="00BB3E2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FF0B25" w:rsidRDefault="00FF0B25" w:rsidP="00BB3E2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Topa</w:t>
      </w:r>
      <w:proofErr w:type="spellEnd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, A. (2022): “A Clue to the Genesis of the Normative Sciences: Chronology, Context and Relevance</w:t>
      </w:r>
      <w:r w:rsidR="00BB3E2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of Peirce’s Classifications of Ends”, in: </w:t>
      </w:r>
      <w:proofErr w:type="spellStart"/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Cognitio</w:t>
      </w:r>
      <w:proofErr w:type="spellEnd"/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 xml:space="preserve">, </w:t>
      </w:r>
      <w:proofErr w:type="spellStart"/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Revista</w:t>
      </w:r>
      <w:proofErr w:type="spellEnd"/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 xml:space="preserve"> de </w:t>
      </w:r>
      <w:proofErr w:type="spellStart"/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Filosofia</w:t>
      </w:r>
      <w:proofErr w:type="spellEnd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, São Paolo, vol. 23/1, pp. 3-28.</w:t>
      </w:r>
    </w:p>
    <w:p w:rsidR="00BB3E25" w:rsidRPr="00FF0B25" w:rsidRDefault="00BB3E25" w:rsidP="00BB3E2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FF0B25" w:rsidRPr="00BB3E25" w:rsidRDefault="00FF0B25" w:rsidP="00BB3E2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Topa</w:t>
      </w:r>
      <w:proofErr w:type="spellEnd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A. (2023): “The </w:t>
      </w:r>
      <w:proofErr w:type="spellStart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Dialogicality</w:t>
      </w:r>
      <w:proofErr w:type="spellEnd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of Peircean Esthetics”, in: </w:t>
      </w:r>
      <w:proofErr w:type="spellStart"/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Cognitio</w:t>
      </w:r>
      <w:proofErr w:type="spellEnd"/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 xml:space="preserve">, </w:t>
      </w:r>
      <w:proofErr w:type="spellStart"/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Revista</w:t>
      </w:r>
      <w:proofErr w:type="spellEnd"/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 xml:space="preserve"> de </w:t>
      </w:r>
      <w:proofErr w:type="spellStart"/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Filosofia</w:t>
      </w:r>
      <w:proofErr w:type="spellEnd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, São Paolo, vol.</w:t>
      </w:r>
      <w:r w:rsidR="00BB3E2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Pr="00BB3E25">
        <w:rPr>
          <w:rFonts w:ascii="Times New Roman" w:hAnsi="Times New Roman" w:cs="Times New Roman"/>
          <w:color w:val="000000"/>
          <w:sz w:val="22"/>
          <w:szCs w:val="22"/>
          <w:lang w:val="en-US"/>
        </w:rPr>
        <w:t>24/1, pp. 3-37.</w:t>
      </w:r>
    </w:p>
    <w:p w:rsidR="00BB3E25" w:rsidRPr="00BB3E25" w:rsidRDefault="00BB3E25" w:rsidP="00FF0B25">
      <w:pPr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BB3E25" w:rsidRPr="000B6B62" w:rsidRDefault="00BB3E25" w:rsidP="00FF0B25">
      <w:pPr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</w:pPr>
      <w:r w:rsidRPr="000B6B62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Reviews</w:t>
      </w:r>
    </w:p>
    <w:p w:rsidR="00BB3E25" w:rsidRPr="000B6B62" w:rsidRDefault="00BB3E25" w:rsidP="00FF0B25">
      <w:pPr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BB3E25" w:rsidRPr="00FF0B25" w:rsidRDefault="00BB3E25" w:rsidP="00BB3E2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Topa</w:t>
      </w:r>
      <w:proofErr w:type="spellEnd"/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A. (2019): “Francesco Bellucci: Peirce’s Speculative Grammar”, in: </w:t>
      </w:r>
      <w:proofErr w:type="spellStart"/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Cognitio</w:t>
      </w:r>
      <w:proofErr w:type="spellEnd"/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 xml:space="preserve">, </w:t>
      </w:r>
      <w:proofErr w:type="spellStart"/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Revista</w:t>
      </w:r>
      <w:proofErr w:type="spellEnd"/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 xml:space="preserve"> de </w:t>
      </w:r>
      <w:proofErr w:type="spellStart"/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Filosofia</w:t>
      </w:r>
      <w:proofErr w:type="spellEnd"/>
      <w:r w:rsidRPr="00C02124"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,</w:t>
      </w:r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São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Pr="00FF0B25">
        <w:rPr>
          <w:rFonts w:ascii="Times New Roman" w:hAnsi="Times New Roman" w:cs="Times New Roman"/>
          <w:color w:val="000000"/>
          <w:sz w:val="22"/>
          <w:szCs w:val="22"/>
          <w:lang w:val="en-US"/>
        </w:rPr>
        <w:t>Paolo, vol. 20/1, pp. 180-202.</w:t>
      </w:r>
    </w:p>
    <w:p w:rsidR="00BB3E25" w:rsidRPr="00BB3E25" w:rsidRDefault="00BB3E25" w:rsidP="00FF0B25">
      <w:pPr>
        <w:rPr>
          <w:color w:val="0D0D0D" w:themeColor="text1" w:themeTint="F2"/>
          <w:lang w:val="en-US"/>
        </w:rPr>
      </w:pPr>
    </w:p>
    <w:p w:rsidR="001065FD" w:rsidRPr="001065FD" w:rsidRDefault="001065FD">
      <w:pPr>
        <w:rPr>
          <w:color w:val="0D0D0D" w:themeColor="text1" w:themeTint="F2"/>
        </w:rPr>
      </w:pPr>
    </w:p>
    <w:sectPr w:rsidR="001065FD" w:rsidRPr="001065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r(--sans)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0039B"/>
    <w:multiLevelType w:val="multilevel"/>
    <w:tmpl w:val="143A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9111D"/>
    <w:multiLevelType w:val="multilevel"/>
    <w:tmpl w:val="97CE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9730D4"/>
    <w:multiLevelType w:val="multilevel"/>
    <w:tmpl w:val="E69A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1F2B04"/>
    <w:multiLevelType w:val="multilevel"/>
    <w:tmpl w:val="C850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5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FD"/>
    <w:rsid w:val="000B6B62"/>
    <w:rsid w:val="001065FD"/>
    <w:rsid w:val="004A24B4"/>
    <w:rsid w:val="00525C1A"/>
    <w:rsid w:val="00530CFD"/>
    <w:rsid w:val="00824C1B"/>
    <w:rsid w:val="00A5234C"/>
    <w:rsid w:val="00BB3E25"/>
    <w:rsid w:val="00C02124"/>
    <w:rsid w:val="00EF009B"/>
    <w:rsid w:val="00FF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E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2E5868"/>
  <w15:chartTrackingRefBased/>
  <w15:docId w15:val="{DF61D0B8-E62C-544C-91F0-08704003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E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0B25"/>
  </w:style>
  <w:style w:type="paragraph" w:styleId="berschrift2">
    <w:name w:val="heading 2"/>
    <w:basedOn w:val="Standard"/>
    <w:link w:val="berschrift2Zchn"/>
    <w:uiPriority w:val="9"/>
    <w:qFormat/>
    <w:rsid w:val="001065F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1065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ervorhebung">
    <w:name w:val="Emphasis"/>
    <w:basedOn w:val="Absatz-Standardschriftart"/>
    <w:uiPriority w:val="20"/>
    <w:qFormat/>
    <w:rsid w:val="001065FD"/>
    <w:rPr>
      <w:i/>
      <w:iCs/>
    </w:rPr>
  </w:style>
  <w:style w:type="character" w:customStyle="1" w:styleId="apple-converted-space">
    <w:name w:val="apple-converted-space"/>
    <w:basedOn w:val="Absatz-Standardschriftart"/>
    <w:rsid w:val="001065FD"/>
  </w:style>
  <w:style w:type="character" w:customStyle="1" w:styleId="berschrift2Zchn">
    <w:name w:val="Überschrift 2 Zchn"/>
    <w:basedOn w:val="Absatz-Standardschriftart"/>
    <w:link w:val="berschrift2"/>
    <w:uiPriority w:val="9"/>
    <w:rsid w:val="001065FD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customStyle="1" w:styleId="profilecontent-bio--contact-email">
    <w:name w:val="profile__content-bio--contact-email"/>
    <w:basedOn w:val="Standard"/>
    <w:rsid w:val="001065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Absatz-Standardschriftart"/>
    <w:uiPriority w:val="99"/>
    <w:unhideWhenUsed/>
    <w:rsid w:val="001065FD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FF0B2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C02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88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47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94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58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753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78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topa@aucegyp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6</cp:revision>
  <dcterms:created xsi:type="dcterms:W3CDTF">2024-03-29T19:51:00Z</dcterms:created>
  <dcterms:modified xsi:type="dcterms:W3CDTF">2024-03-29T20:29:00Z</dcterms:modified>
</cp:coreProperties>
</file>